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四川泸县经济开发区管理委员会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eastAsia" w:ascii="方正小标宋简体" w:hAnsi="方正小标宋简体" w:eastAsia="方正小标宋简体" w:cs="方正小标宋简体"/>
          <w:sz w:val="44"/>
          <w:szCs w:val="44"/>
          <w:lang w:val="en-US" w:eastAsia="zh-CN"/>
        </w:rPr>
        <w:t>年度财政资金绩效运行监控报告</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按照县财政局工作安排，</w:t>
      </w:r>
      <w:r>
        <w:rPr>
          <w:rFonts w:hint="default" w:ascii="Times New Roman" w:hAnsi="Times New Roman" w:eastAsia="仿宋_GB2312" w:cs="Times New Roman"/>
          <w:sz w:val="32"/>
          <w:szCs w:val="32"/>
          <w:lang w:eastAsia="zh-CN"/>
        </w:rPr>
        <w:t>经开区</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了202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年1月至8月部门预算执行、调整情况以及绩效目标完成和实现情况的绩效监控相关工作。</w:t>
      </w:r>
    </w:p>
    <w:p>
      <w:pPr>
        <w:keepNext w:val="0"/>
        <w:keepLines w:val="0"/>
        <w:pageBreakBefore w:val="0"/>
        <w:numPr>
          <w:ilvl w:val="0"/>
          <w:numId w:val="1"/>
        </w:numPr>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川泸县经济开发区管理委员会为泸县人民政府的派出机构，负责泸县经济开发区的规划、建设、发展、管理和服务等工作。主要职责如下：贯彻执行国家和省、市、县有关经济开发区的法律、法规和政策，执行县委、县政府的决定决议，制定开发区有关行政管理办法；负责经济开发区行政管理；负责经济开发区规划的组织实施；负责经济开发区基础设施建设和管理；负责经济开发区入驻企业的项目建设和管理；负责经济开发区招商引资；负责经济开发区社会事务管理；负责经济开发区财务管理；负责经济开发区安全环保指导和监督；负责协调、监督有关部门设立的开发区服务管理机构的工作；履行廉政建设职责，执行廉政建设责任制的各项规定；承办县委、县政府交办的其它工作。</w:t>
      </w:r>
    </w:p>
    <w:p>
      <w:pPr>
        <w:pStyle w:val="4"/>
        <w:numPr>
          <w:ilvl w:val="0"/>
          <w:numId w:val="0"/>
        </w:numPr>
        <w:rPr>
          <w:rFonts w:hint="eastAsia"/>
        </w:rPr>
      </w:pPr>
    </w:p>
    <w:p>
      <w:pPr>
        <w:keepNext w:val="0"/>
        <w:keepLines w:val="0"/>
        <w:pageBreakBefore w:val="0"/>
        <w:numPr>
          <w:ilvl w:val="0"/>
          <w:numId w:val="1"/>
        </w:numPr>
        <w:kinsoku/>
        <w:wordWrap/>
        <w:overflowPunct/>
        <w:topLinePunct w:val="0"/>
        <w:autoSpaceDN/>
        <w:bidi w:val="0"/>
        <w:spacing w:line="578" w:lineRule="exact"/>
        <w:ind w:left="0" w:leftChars="0" w:firstLine="0" w:firstLine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（1）四川泸县经济开发区管理委员会内设办公室（党群工作部）、规划建设科、经济发展科、投资促进科、应急管理和生态环境科5个科室；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（2）设立泸县经济开发区服务中心，为经开区管委会下属财政全额拨款事业单位，内设工程建设部、要素保障部、投资服务部、综合部和社会事务部5个部室。</w:t>
      </w:r>
    </w:p>
    <w:p>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年年初预算下达资金</w:t>
      </w:r>
      <w:r>
        <w:rPr>
          <w:rFonts w:hint="eastAsia" w:ascii="Times New Roman" w:hAnsi="Times New Roman" w:eastAsia="仿宋_GB2312" w:cs="Times New Roman"/>
          <w:sz w:val="32"/>
          <w:szCs w:val="32"/>
          <w:lang w:val="en-US" w:eastAsia="zh-CN"/>
        </w:rPr>
        <w:t>322.66</w:t>
      </w:r>
      <w:r>
        <w:rPr>
          <w:rFonts w:hint="default" w:ascii="Times New Roman" w:hAnsi="Times New Roman" w:eastAsia="仿宋_GB2312" w:cs="Times New Roman"/>
          <w:sz w:val="32"/>
          <w:szCs w:val="32"/>
        </w:rPr>
        <w:t>万元，其中：公用支出</w:t>
      </w:r>
      <w:r>
        <w:rPr>
          <w:rFonts w:hint="eastAsia" w:ascii="Times New Roman" w:hAnsi="Times New Roman" w:eastAsia="仿宋_GB2312" w:cs="Times New Roman"/>
          <w:sz w:val="32"/>
          <w:szCs w:val="32"/>
          <w:lang w:val="en-US" w:eastAsia="zh-CN"/>
        </w:rPr>
        <w:t>57.66</w:t>
      </w:r>
      <w:r>
        <w:rPr>
          <w:rFonts w:hint="default" w:ascii="Times New Roman" w:hAnsi="Times New Roman" w:eastAsia="仿宋_GB2312" w:cs="Times New Roman"/>
          <w:sz w:val="32"/>
          <w:szCs w:val="32"/>
        </w:rPr>
        <w:t>万元，经常性项目支出</w:t>
      </w:r>
      <w:r>
        <w:rPr>
          <w:rFonts w:hint="eastAsia"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1-8月中途追加</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个项目资金</w:t>
      </w:r>
      <w:r>
        <w:rPr>
          <w:rFonts w:hint="eastAsia" w:ascii="Times New Roman" w:hAnsi="Times New Roman" w:eastAsia="仿宋_GB2312" w:cs="Times New Roman"/>
          <w:sz w:val="32"/>
          <w:szCs w:val="32"/>
          <w:lang w:val="en-US" w:eastAsia="zh-CN"/>
        </w:rPr>
        <w:t>3635.32</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1个化工园区指挥部工作经费9.2万元，</w:t>
      </w:r>
      <w:r>
        <w:rPr>
          <w:rFonts w:hint="default" w:ascii="Times New Roman" w:hAnsi="Times New Roman" w:eastAsia="仿宋_GB2312" w:cs="Times New Roman"/>
          <w:sz w:val="32"/>
          <w:szCs w:val="32"/>
        </w:rPr>
        <w:t>累计财政拨款收入</w:t>
      </w:r>
      <w:r>
        <w:rPr>
          <w:rFonts w:hint="eastAsia" w:ascii="Times New Roman" w:hAnsi="Times New Roman" w:eastAsia="仿宋_GB2312" w:cs="Times New Roman"/>
          <w:sz w:val="32"/>
          <w:szCs w:val="32"/>
          <w:lang w:val="en-US" w:eastAsia="zh-CN"/>
        </w:rPr>
        <w:t>3967.18</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公用支出，主要用于保障单位正常运转。包括办公费、差旅费、物业管理费、水电费、印刷费等日常公用支出。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经常性项目支出，主要用于保障单位日常零星项目支出。主要包括：</w:t>
      </w:r>
      <w:r>
        <w:rPr>
          <w:rFonts w:hint="eastAsia" w:ascii="Times New Roman" w:hAnsi="Times New Roman" w:eastAsia="仿宋_GB2312" w:cs="Times New Roman"/>
          <w:sz w:val="32"/>
          <w:szCs w:val="32"/>
          <w:lang w:eastAsia="zh-CN"/>
        </w:rPr>
        <w:t>经开区办公阵地</w:t>
      </w:r>
      <w:r>
        <w:rPr>
          <w:rFonts w:hint="default" w:ascii="Times New Roman" w:hAnsi="Times New Roman" w:eastAsia="仿宋_GB2312" w:cs="Times New Roman"/>
          <w:sz w:val="32"/>
          <w:szCs w:val="32"/>
        </w:rPr>
        <w:t>租金</w:t>
      </w:r>
      <w:r>
        <w:rPr>
          <w:rFonts w:hint="eastAsia"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其他运转支出</w:t>
      </w:r>
      <w:r>
        <w:rPr>
          <w:rFonts w:hint="eastAsia" w:ascii="Times New Roman" w:hAnsi="Times New Roman" w:eastAsia="仿宋_GB2312" w:cs="Times New Roman"/>
          <w:sz w:val="32"/>
          <w:szCs w:val="32"/>
          <w:lang w:val="en-US" w:eastAsia="zh-CN"/>
        </w:rPr>
        <w:t>170万元，</w:t>
      </w:r>
      <w:r>
        <w:rPr>
          <w:rFonts w:hint="default" w:ascii="Times New Roman" w:hAnsi="Times New Roman" w:eastAsia="仿宋_GB2312" w:cs="Times New Roman"/>
          <w:sz w:val="32"/>
          <w:szCs w:val="32"/>
        </w:rPr>
        <w:t>办公</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采购</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中途追加</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个项目支出，主要用于园区</w:t>
      </w:r>
      <w:r>
        <w:rPr>
          <w:rFonts w:hint="eastAsia" w:ascii="Times New Roman" w:hAnsi="Times New Roman" w:eastAsia="仿宋_GB2312" w:cs="Times New Roman"/>
          <w:sz w:val="32"/>
          <w:szCs w:val="32"/>
          <w:lang w:eastAsia="zh-CN"/>
        </w:rPr>
        <w:t>安全环保</w:t>
      </w:r>
      <w:r>
        <w:rPr>
          <w:rFonts w:hint="default" w:ascii="Times New Roman" w:hAnsi="Times New Roman" w:eastAsia="仿宋_GB2312" w:cs="Times New Roman"/>
          <w:sz w:val="32"/>
          <w:szCs w:val="32"/>
        </w:rPr>
        <w:t>、基础设施建设以及招商引资企业扶持等。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（具体项目见20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预算项目</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eastAsia="zh-CN"/>
        </w:rPr>
        <w:t>运行</w:t>
      </w:r>
      <w:r>
        <w:rPr>
          <w:rFonts w:hint="default" w:ascii="Times New Roman" w:hAnsi="Times New Roman" w:eastAsia="仿宋_GB2312" w:cs="Times New Roman"/>
          <w:sz w:val="32"/>
          <w:szCs w:val="32"/>
        </w:rPr>
        <w:t>监控</w:t>
      </w:r>
      <w:r>
        <w:rPr>
          <w:rFonts w:hint="default" w:ascii="Times New Roman" w:hAnsi="Times New Roman" w:eastAsia="仿宋_GB2312" w:cs="Times New Roman"/>
          <w:sz w:val="32"/>
          <w:szCs w:val="32"/>
          <w:lang w:eastAsia="zh-CN"/>
        </w:rPr>
        <w:t>分析</w:t>
      </w:r>
      <w:r>
        <w:rPr>
          <w:rFonts w:hint="default" w:ascii="Times New Roman" w:hAnsi="Times New Roman" w:eastAsia="仿宋_GB2312" w:cs="Times New Roman"/>
          <w:sz w:val="32"/>
          <w:szCs w:val="32"/>
        </w:rPr>
        <w:t>表）</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-8月，本单位</w:t>
      </w:r>
      <w:r>
        <w:rPr>
          <w:rFonts w:hint="default" w:ascii="Times New Roman" w:hAnsi="Times New Roman" w:eastAsia="仿宋_GB2312" w:cs="Times New Roman"/>
          <w:sz w:val="32"/>
          <w:szCs w:val="32"/>
          <w:lang w:eastAsia="zh-CN"/>
        </w:rPr>
        <w:t>预算支出</w:t>
      </w:r>
      <w:r>
        <w:rPr>
          <w:rFonts w:hint="eastAsia" w:ascii="Times New Roman" w:hAnsi="Times New Roman" w:eastAsia="仿宋_GB2312" w:cs="Times New Roman"/>
          <w:sz w:val="32"/>
          <w:szCs w:val="32"/>
          <w:lang w:val="en-US" w:eastAsia="zh-CN"/>
        </w:rPr>
        <w:t>1849.16</w:t>
      </w:r>
      <w:r>
        <w:rPr>
          <w:rFonts w:hint="default" w:ascii="Times New Roman" w:hAnsi="Times New Roman" w:eastAsia="仿宋_GB2312" w:cs="Times New Roman"/>
          <w:sz w:val="32"/>
          <w:szCs w:val="32"/>
          <w:lang w:val="en-US" w:eastAsia="zh-CN"/>
        </w:rPr>
        <w:t>万元，整体执行率为</w:t>
      </w:r>
      <w:r>
        <w:rPr>
          <w:rFonts w:hint="eastAsia" w:ascii="Times New Roman" w:hAnsi="Times New Roman" w:eastAsia="仿宋_GB2312" w:cs="Times New Roman"/>
          <w:sz w:val="32"/>
          <w:szCs w:val="32"/>
          <w:lang w:val="en-US" w:eastAsia="zh-CN"/>
        </w:rPr>
        <w:t>46.61</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公用支出</w:t>
      </w:r>
      <w:r>
        <w:rPr>
          <w:rFonts w:hint="eastAsia" w:ascii="Times New Roman" w:hAnsi="Times New Roman" w:eastAsia="仿宋_GB2312" w:cs="Times New Roman"/>
          <w:sz w:val="32"/>
          <w:szCs w:val="32"/>
          <w:lang w:val="en-US" w:eastAsia="zh-CN"/>
        </w:rPr>
        <w:t>34.67</w:t>
      </w:r>
      <w:r>
        <w:rPr>
          <w:rFonts w:hint="default" w:ascii="Times New Roman" w:hAnsi="Times New Roman" w:eastAsia="仿宋_GB2312" w:cs="Times New Roman"/>
          <w:sz w:val="32"/>
          <w:szCs w:val="32"/>
        </w:rPr>
        <w:t>万元，执行率为</w:t>
      </w:r>
      <w:r>
        <w:rPr>
          <w:rFonts w:hint="eastAsia" w:ascii="Times New Roman" w:hAnsi="Times New Roman" w:eastAsia="仿宋_GB2312" w:cs="Times New Roman"/>
          <w:sz w:val="32"/>
          <w:szCs w:val="32"/>
          <w:lang w:val="en-US" w:eastAsia="zh-CN"/>
        </w:rPr>
        <w:t>60.13</w:t>
      </w:r>
      <w:r>
        <w:rPr>
          <w:rFonts w:hint="default" w:ascii="Times New Roman" w:hAnsi="Times New Roman" w:eastAsia="仿宋_GB2312" w:cs="Times New Roman"/>
          <w:sz w:val="32"/>
          <w:szCs w:val="32"/>
        </w:rPr>
        <w:t>%；经常性项目支出</w:t>
      </w:r>
      <w:r>
        <w:rPr>
          <w:rFonts w:hint="eastAsia" w:ascii="Times New Roman" w:hAnsi="Times New Roman" w:eastAsia="仿宋_GB2312" w:cs="Times New Roman"/>
          <w:sz w:val="32"/>
          <w:szCs w:val="32"/>
          <w:lang w:val="en-US" w:eastAsia="zh-CN"/>
        </w:rPr>
        <w:t>179.17</w:t>
      </w:r>
      <w:r>
        <w:rPr>
          <w:rFonts w:hint="default" w:ascii="Times New Roman" w:hAnsi="Times New Roman" w:eastAsia="仿宋_GB2312" w:cs="Times New Roman"/>
          <w:sz w:val="32"/>
          <w:szCs w:val="32"/>
        </w:rPr>
        <w:t>万元，执行率为</w:t>
      </w:r>
      <w:r>
        <w:rPr>
          <w:rFonts w:hint="eastAsia" w:ascii="Times New Roman" w:hAnsi="Times New Roman" w:eastAsia="仿宋_GB2312" w:cs="Times New Roman"/>
          <w:sz w:val="32"/>
          <w:szCs w:val="32"/>
          <w:lang w:val="en-US" w:eastAsia="zh-CN"/>
        </w:rPr>
        <w:t>67.61</w:t>
      </w:r>
      <w:r>
        <w:rPr>
          <w:rFonts w:hint="default" w:ascii="Times New Roman" w:hAnsi="Times New Roman" w:eastAsia="仿宋_GB2312" w:cs="Times New Roman"/>
          <w:sz w:val="32"/>
          <w:szCs w:val="32"/>
        </w:rPr>
        <w:t>%；中途追加</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个项目支出</w:t>
      </w:r>
      <w:r>
        <w:rPr>
          <w:rFonts w:hint="eastAsia" w:ascii="Times New Roman" w:hAnsi="Times New Roman" w:eastAsia="仿宋_GB2312" w:cs="Times New Roman"/>
          <w:sz w:val="32"/>
          <w:szCs w:val="32"/>
          <w:lang w:val="en-US" w:eastAsia="zh-CN"/>
        </w:rPr>
        <w:t>1635.32</w:t>
      </w:r>
      <w:r>
        <w:rPr>
          <w:rFonts w:hint="default" w:ascii="Times New Roman" w:hAnsi="Times New Roman" w:eastAsia="仿宋_GB2312" w:cs="Times New Roman"/>
          <w:sz w:val="32"/>
          <w:szCs w:val="32"/>
        </w:rPr>
        <w:t>万元，执行率为</w:t>
      </w:r>
      <w:r>
        <w:rPr>
          <w:rFonts w:hint="eastAsia" w:ascii="Times New Roman" w:hAnsi="Times New Roman" w:eastAsia="仿宋_GB2312" w:cs="Times New Roman"/>
          <w:sz w:val="32"/>
          <w:szCs w:val="32"/>
          <w:lang w:val="en-US" w:eastAsia="zh-CN"/>
        </w:rPr>
        <w:t>44.98</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公用支出执行率相对正常，能按时间节点保障单位正常运转。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经常性</w:t>
      </w:r>
      <w:r>
        <w:rPr>
          <w:rFonts w:hint="default" w:ascii="Times New Roman" w:hAnsi="Times New Roman" w:eastAsia="仿宋_GB2312" w:cs="Times New Roman"/>
          <w:sz w:val="32"/>
          <w:szCs w:val="32"/>
          <w:lang w:eastAsia="zh-CN"/>
        </w:rPr>
        <w:t>项目支出执行相对正常，</w:t>
      </w:r>
      <w:r>
        <w:rPr>
          <w:rFonts w:hint="eastAsia"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lang w:eastAsia="zh-CN"/>
        </w:rPr>
        <w:t>按照年初计划目标顺利完成和推进。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 1.1-8月根据单位需要追加</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sz w:val="32"/>
          <w:szCs w:val="32"/>
          <w:lang w:val="en-US" w:eastAsia="zh-CN"/>
        </w:rPr>
        <w:t>3506.72</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1个化工园区指挥部工作经费9.2万元</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已</w:t>
      </w:r>
      <w:r>
        <w:rPr>
          <w:rFonts w:hint="default" w:ascii="Times New Roman" w:hAnsi="Times New Roman" w:eastAsia="仿宋_GB2312" w:cs="Times New Roman"/>
          <w:color w:val="000000"/>
          <w:sz w:val="32"/>
          <w:szCs w:val="32"/>
        </w:rPr>
        <w:t>全部落实到位。</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四川安瑞环境</w:t>
      </w:r>
      <w:r>
        <w:rPr>
          <w:rFonts w:hint="eastAsia" w:ascii="Times New Roman" w:hAnsi="Times New Roman" w:eastAsia="仿宋_GB2312" w:cs="Times New Roman"/>
          <w:sz w:val="32"/>
          <w:szCs w:val="32"/>
          <w:lang w:eastAsia="zh-CN"/>
        </w:rPr>
        <w:t>、新康意等</w:t>
      </w:r>
      <w:r>
        <w:rPr>
          <w:rFonts w:hint="default" w:ascii="Times New Roman" w:hAnsi="Times New Roman" w:eastAsia="仿宋_GB2312" w:cs="Times New Roman"/>
          <w:sz w:val="32"/>
          <w:szCs w:val="32"/>
          <w:lang w:val="en-US" w:eastAsia="zh-CN"/>
        </w:rPr>
        <w:t>6个</w:t>
      </w:r>
      <w:r>
        <w:rPr>
          <w:rFonts w:hint="default" w:ascii="Times New Roman" w:hAnsi="Times New Roman" w:eastAsia="仿宋_GB2312" w:cs="Times New Roman"/>
          <w:sz w:val="32"/>
          <w:szCs w:val="32"/>
          <w:lang w:eastAsia="zh-CN"/>
        </w:rPr>
        <w:t>企业扶持项目</w:t>
      </w:r>
      <w:r>
        <w:rPr>
          <w:rFonts w:hint="eastAsia" w:ascii="Times New Roman" w:hAnsi="Times New Roman" w:eastAsia="仿宋_GB2312" w:cs="Times New Roman"/>
          <w:sz w:val="32"/>
          <w:szCs w:val="32"/>
          <w:lang w:val="en-US" w:eastAsia="zh-CN"/>
        </w:rPr>
        <w:t>2723.96万元，执行率26.58%，</w:t>
      </w:r>
      <w:r>
        <w:rPr>
          <w:rFonts w:hint="default" w:ascii="Times New Roman" w:hAnsi="Times New Roman" w:eastAsia="仿宋_GB2312" w:cs="Times New Roman"/>
          <w:sz w:val="32"/>
          <w:szCs w:val="32"/>
          <w:lang w:val="en-US" w:eastAsia="zh-CN"/>
        </w:rPr>
        <w:t>主要用于支持企业发展，进而促进园区经济发展，解决劳动就业等</w:t>
      </w:r>
      <w:r>
        <w:rPr>
          <w:rFonts w:hint="eastAsia" w:ascii="Times New Roman" w:hAnsi="Times New Roman" w:eastAsia="仿宋_GB2312" w:cs="Times New Roman"/>
          <w:sz w:val="32"/>
          <w:szCs w:val="32"/>
          <w:lang w:val="en-US" w:eastAsia="zh-CN"/>
        </w:rPr>
        <w:t>，其主要原因是四川安瑞环境治理有限公司泸县油基钻屑及含油废弃物资源化利用项目是8月30日下达，目前正在申报计划。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神仙桥产业园污水处理厂运行、</w:t>
      </w:r>
      <w:r>
        <w:rPr>
          <w:rFonts w:hint="eastAsia" w:ascii="Times New Roman" w:hAnsi="Times New Roman" w:eastAsia="仿宋_GB2312" w:cs="Times New Roman"/>
          <w:sz w:val="32"/>
          <w:szCs w:val="32"/>
          <w:lang w:val="en-US" w:eastAsia="zh-CN"/>
        </w:rPr>
        <w:t>重点项目建设及神仙桥化工园区工作经费</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个项目</w:t>
      </w:r>
      <w:r>
        <w:rPr>
          <w:rFonts w:hint="eastAsia" w:ascii="Times New Roman" w:hAnsi="Times New Roman" w:eastAsia="仿宋_GB2312" w:cs="Times New Roman"/>
          <w:sz w:val="32"/>
          <w:szCs w:val="32"/>
          <w:lang w:val="en-US" w:eastAsia="zh-CN"/>
        </w:rPr>
        <w:t>715.32</w:t>
      </w:r>
      <w:r>
        <w:rPr>
          <w:rFonts w:hint="default" w:ascii="Times New Roman" w:hAnsi="Times New Roman" w:eastAsia="仿宋_GB2312" w:cs="Times New Roman"/>
          <w:sz w:val="32"/>
          <w:szCs w:val="32"/>
          <w:lang w:val="en-US" w:eastAsia="zh-CN"/>
        </w:rPr>
        <w:t>万元，执行率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完成绩效目标任务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园区环境质量监测等项目、购买第三方安全专家服务项目</w:t>
      </w:r>
      <w:r>
        <w:rPr>
          <w:rFonts w:hint="eastAsia" w:ascii="Times New Roman" w:hAnsi="Times New Roman" w:eastAsia="仿宋_GB2312" w:cs="Times New Roman"/>
          <w:sz w:val="32"/>
          <w:szCs w:val="32"/>
          <w:lang w:val="en-US" w:eastAsia="zh-CN"/>
        </w:rPr>
        <w:t>101.04万元，</w:t>
      </w:r>
      <w:r>
        <w:rPr>
          <w:rFonts w:hint="default" w:ascii="Times New Roman" w:hAnsi="Times New Roman" w:eastAsia="仿宋_GB2312" w:cs="Times New Roman"/>
          <w:sz w:val="32"/>
          <w:szCs w:val="32"/>
          <w:lang w:val="en-US" w:eastAsia="zh-CN"/>
        </w:rPr>
        <w:t>执行率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完成绩效目标任务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）执法中队、安全环保应急指挥中心，及园区警务室建设项目</w:t>
      </w:r>
      <w:r>
        <w:rPr>
          <w:rFonts w:hint="eastAsia" w:ascii="Times New Roman" w:hAnsi="Times New Roman" w:eastAsia="仿宋_GB2312" w:cs="Times New Roman"/>
          <w:sz w:val="32"/>
          <w:szCs w:val="32"/>
          <w:lang w:val="en-US" w:eastAsia="zh-CN"/>
        </w:rPr>
        <w:t>95万元，</w:t>
      </w:r>
      <w:r>
        <w:rPr>
          <w:rFonts w:hint="default" w:ascii="Times New Roman" w:hAnsi="Times New Roman" w:eastAsia="仿宋_GB2312" w:cs="Times New Roman"/>
          <w:sz w:val="32"/>
          <w:szCs w:val="32"/>
          <w:lang w:val="en-US" w:eastAsia="zh-CN"/>
        </w:rPr>
        <w:t>执行率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完成绩效目标任务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总体而言，我</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预算绩效目标任务稳步推进</w:t>
      </w:r>
      <w:r>
        <w:rPr>
          <w:rFonts w:hint="eastAsia" w:ascii="Times New Roman" w:hAnsi="Times New Roman" w:eastAsia="仿宋_GB2312" w:cs="Times New Roman"/>
          <w:sz w:val="32"/>
          <w:szCs w:val="32"/>
          <w:lang w:val="en-US" w:eastAsia="zh-CN"/>
        </w:rPr>
        <w:t>。</w:t>
      </w:r>
      <w:bookmarkStart w:id="0" w:name="_GoBack"/>
      <w:bookmarkEnd w:id="0"/>
    </w:p>
    <w:p>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3967.18</w:t>
      </w:r>
      <w:r>
        <w:rPr>
          <w:rFonts w:hint="default"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3967.18</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3967.18</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57.66</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3909.52</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事业支出预计执行0元，执行率0%；</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其他支出预计执行0元，执行率0%；</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预计全年绩效目标任务均能按照年初制定的计划和指标全部完成，部门支出绩效和项目支出绩效都能按照年初制订的目标任务超额完成。</w:t>
      </w:r>
      <w:r>
        <w:rPr>
          <w:rFonts w:hint="eastAsia" w:ascii="Times New Roman" w:hAnsi="Times New Roman" w:eastAsia="仿宋_GB2312"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3510" w:firstLineChars="1300"/>
        <w:textAlignment w:val="auto"/>
        <w:rPr>
          <w:rFonts w:hint="default" w:ascii="Times New Roman" w:hAnsi="Times New Roman" w:eastAsia="仿宋_GB2312" w:cs="Times New Roman"/>
          <w:sz w:val="32"/>
          <w:szCs w:val="32"/>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四川</w:t>
      </w:r>
      <w:r>
        <w:rPr>
          <w:rFonts w:hint="default" w:ascii="Times New Roman" w:hAnsi="Times New Roman" w:eastAsia="仿宋_GB2312" w:cs="Times New Roman"/>
          <w:sz w:val="32"/>
          <w:szCs w:val="32"/>
          <w:lang w:eastAsia="zh-CN"/>
        </w:rPr>
        <w:t>泸县经济开发区管理委员会</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年9月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55C87"/>
    <w:multiLevelType w:val="singleLevel"/>
    <w:tmpl w:val="45055C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UzNzQwZTBiMWVlMzc3NjNiNzNiMzk2YjQ0NjQifQ=="/>
  </w:docVars>
  <w:rsids>
    <w:rsidRoot w:val="695038CD"/>
    <w:rsid w:val="054D5714"/>
    <w:rsid w:val="1754709A"/>
    <w:rsid w:val="1FFB398E"/>
    <w:rsid w:val="2DB15AF7"/>
    <w:rsid w:val="36F553CA"/>
    <w:rsid w:val="37223AF9"/>
    <w:rsid w:val="378C4718"/>
    <w:rsid w:val="3C7F9E62"/>
    <w:rsid w:val="47605247"/>
    <w:rsid w:val="4C6F3D5B"/>
    <w:rsid w:val="5A785436"/>
    <w:rsid w:val="695038CD"/>
    <w:rsid w:val="6FEC0000"/>
    <w:rsid w:val="726A5B3D"/>
    <w:rsid w:val="77667147"/>
    <w:rsid w:val="798F5FF5"/>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6</TotalTime>
  <ScaleCrop>false</ScaleCrop>
  <LinksUpToDate>false</LinksUpToDate>
  <CharactersWithSpaces>741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疯狂小狮子</cp:lastModifiedBy>
  <dcterms:modified xsi:type="dcterms:W3CDTF">2023-12-27T12:06:09Z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E4EB737C164E42D6A94E5030D1A5D344_13</vt:lpwstr>
  </property>
</Properties>
</file>